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9B72B" w14:textId="77777777" w:rsidR="006D4EE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264A557" w14:textId="77777777" w:rsidR="006D4EE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1A27E7B5" w14:textId="77777777" w:rsidR="006D4EE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07F0C0EE" w14:textId="77777777" w:rsidR="006D4EE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A262A73" w14:textId="77777777" w:rsidR="006D4EEA" w:rsidRDefault="006D4E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6"/>
        <w:gridCol w:w="1360"/>
        <w:gridCol w:w="1875"/>
        <w:gridCol w:w="1876"/>
        <w:gridCol w:w="1411"/>
        <w:gridCol w:w="466"/>
        <w:gridCol w:w="1887"/>
      </w:tblGrid>
      <w:tr w:rsidR="006D4EEA" w14:paraId="53E7A32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75C43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5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7DB520E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– oddział chorób wewnętrznych</w:t>
            </w:r>
          </w:p>
        </w:tc>
      </w:tr>
      <w:tr w:rsidR="006D4EEA" w14:paraId="6A184E8D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ACE41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4779192" w14:textId="040109D2" w:rsidR="006D4EEA" w:rsidRDefault="006D4E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D4EEA" w14:paraId="4980267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A601F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4966A7D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6D4EEA" w14:paraId="7BA81CCA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049D1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2CC5AC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6D4EEA" w14:paraId="2ABA32BD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657242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DDD37FF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D4EEA" w14:paraId="60CF591F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9554D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68A403D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D4EEA" w14:paraId="6692DB00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AE8DC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AE3F74C" w14:textId="77777777" w:rsidR="006D4EE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III</w:t>
            </w:r>
          </w:p>
        </w:tc>
      </w:tr>
      <w:tr w:rsidR="006D4EEA" w14:paraId="43C7CE29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87847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35AF723" w14:textId="77777777" w:rsidR="006D4EE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6D4EEA" w14:paraId="5EEEBEC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CC991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E0DB53D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6D4EEA" w14:paraId="192A05FF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99510" w14:textId="77777777" w:rsidR="006D4EE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8784633" w14:textId="77777777" w:rsidR="006D4EE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6D4EEA" w14:paraId="36156EDC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34B796" w14:textId="77777777" w:rsidR="006D4EE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D73FF4A" w14:textId="77777777" w:rsidR="006D4EEA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z zakresu anatomii, fizjologii oraz patofizjologii narządu ruchu, podstawy badania podmiotowego i przedmiotowego narządu ruchu.</w:t>
            </w:r>
          </w:p>
        </w:tc>
      </w:tr>
      <w:tr w:rsidR="006D4EEA" w14:paraId="56D28287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4AB181" w14:textId="77777777" w:rsidR="006D4EE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F889BEC" w14:textId="77777777" w:rsidR="006D4EEA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Zdobycie przez studentów wiedzy z zakresu chorób wewnętrznych i onkologii niezbędnej w pracy ratownika medycznego. Zdobycie wiedzy i praktycznych umiejętności dotyczących rozpoznawania, diagnostyki, różnicowania oraz właściwego postępowania z pacjentami w zakresie chorób wewnętrznych i onkologicznych. Uzyskanie przez studentów postawy cechującej się empatią i zrozumieniem w relacji z pacjentem i jego otoczeniem, przestrzeganiem praw pacjenta oraz świadomości specyficznych problemów związanych z udzielaniem pomocy osobom z chorobami onkologicznymi.</w:t>
            </w:r>
          </w:p>
        </w:tc>
      </w:tr>
      <w:tr w:rsidR="006D4EEA" w14:paraId="1E7CC986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E64E0E" w14:textId="77777777" w:rsidR="006D4EE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24D6731" w14:textId="77777777" w:rsidR="006D4EE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6D4EEA" w14:paraId="2844E80B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44BE3EF" w14:textId="77777777" w:rsidR="006D4EE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E7421E3" w14:textId="77777777" w:rsidR="006D4EEA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6D4EEA" w14:paraId="04D1B6AC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7686BB05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C1A488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D4EEA" w14:paraId="6EDDC6E8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599FF9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155B1C34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2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355BD65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C.W8. problemy wynikające z niepełnosprawności i chorób przewlekłych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B4FC8F8" w14:textId="77777777" w:rsidR="006D4EE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6D4EEA" w14:paraId="749C6CBF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249303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F28C71D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C.W15. przyczyny, objawy, zasady diagnozowania i postępowania terapeutycznego w najczęstszych problemach medycyny paliatywnej;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6B6207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70642207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04E328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8B5477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C.W23. stany zagrożenia w chorobach nowotworowych i hematologicznych, zaburzeniach układu krzepnięcia, zespole wykrzepiania wewnątrznaczyniowego i ostrej białaczce oraz zasady postępowania przedszpitalnego w tych stanach;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A343863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61C90306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7A4E3E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18895A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C.W27.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759F997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7B2C8A16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85EFF7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853E16C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C.W29.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FBCE76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25717849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BA6CB1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8E8C87F" w14:textId="77777777" w:rsidR="006D4EE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C.W30. przyczyny, objawy i postępowanie w ostrej niewydolności nerek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609644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207E261C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D204A3C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ACC9EBD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C.W31. wybrane choroby przewodu pokarmowego;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6F28252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6C3B21C9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288BAFE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27A6C4D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C.W32. zagadnienia śpiączki metabolicznej i stanów nagłego zagrożenia w endokrynologii;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99B17E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66C501A3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38C1541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018348F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C.W33. metody oceny stanu odżywienia;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BA51289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401BC38B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DCAB53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2A55236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C.W34.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4FD142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01E6CA4D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4297B00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6057C3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C.W105 podstawowe techniki obrazowe;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13A67C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061588C7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DEBAB24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5113C47" w14:textId="77777777" w:rsidR="006D4EE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142431E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4FB1E3CC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32CFA96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6F95FA1F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7A968DA" w14:textId="77777777" w:rsidR="006D4EEA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C.U10.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9287232" w14:textId="77777777" w:rsidR="006D4EE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6D4EEA" w14:paraId="3B7D83EF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7CD7B5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E6C2959" w14:textId="77777777" w:rsidR="006D4EE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C.U12. interpretować wyniki badań pacjenta z przewlekłą niewydolnością oddechową;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67B1912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058875E1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3B2ABC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DE35001" w14:textId="77777777" w:rsidR="006D4EE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810ACF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4B5353E2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F1EE193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C09E04" w14:textId="77777777" w:rsidR="006D4EE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C.U37. wiązać obrazy uszkodzeń tkankowych i narządowych z objawami klinicznymi choroby;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E7AE294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EEA" w14:paraId="29A7D255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C5D25A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7E23AAF2" w14:textId="77777777" w:rsidR="006D4EE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620777" w14:textId="77777777" w:rsidR="006D4EE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0C53C52" w14:textId="77777777" w:rsidR="006D4EE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6D4EEA" w14:paraId="1008451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63CD7BB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72CDF8A" w14:textId="77777777" w:rsidR="006D4EEA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F886E9C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D4EEA" w14:paraId="7639655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4EEFBA" w14:textId="77777777" w:rsidR="006D4EEA" w:rsidRDefault="006D4EE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74F75C7" w14:textId="77777777" w:rsidR="006D4EE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E6650E0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D4EEA" w14:paraId="155EF414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2F1646B" w14:textId="77777777" w:rsidR="006D4EEA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1A61E22" w14:textId="77777777" w:rsidR="006D4EEA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6CDEE035" w14:textId="77777777" w:rsidR="006D4EE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3D4C33A3" w14:textId="77777777" w:rsidR="006D4EE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2F65BAB9" w14:textId="77777777" w:rsidR="006D4EE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CB9221F" w14:textId="77777777" w:rsidR="006D4EEA" w:rsidRDefault="006D4EE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6D4EEA" w14:paraId="14A8FC26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C65DA2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302FCCC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6D4EEA" w14:paraId="392A76B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1DDEFB5" w14:textId="77777777" w:rsidR="006D4EE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podmiotowe i przedmiotowe pacjenta ze schorzeniami internistycznymi i onkologicznymi. Zapoznanie z dokumentacją medyczną pacjenta.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41CB8C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6D4EEA" w14:paraId="5B91B7A0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D189DC0" w14:textId="77777777" w:rsidR="006D4EE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Diagnostyka różnicowa bólu w klatce piersiowej. Przyczyny i rodzaje bólu w klatce piersiowej. Badania laboratoryjne i obrazowe, podstawowa interpretacja badania EKG.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46897BB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6D4EEA" w14:paraId="289D68F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03E550A" w14:textId="77777777" w:rsidR="006D4EE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Diagnostyka i leczenie pacjenta z dusznością. Zaostrzenie przelewkłych chorób płuc: asmy oskrzelowej, POCHP, ostre choroby zapalne dróg oddechowych i płuc. Odma opłucnowa, krwawienia z dróg oddechowych. Ostra i przewlekła niewydolność oddechowa. Ocena paramterów oddechowych, badań obrazowych, interepretacja wyników gazometrii krwi tętniczej.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25100ED" w14:textId="77777777" w:rsidR="006D4EEA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6D4EEA" w14:paraId="59150A1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9D02D3C" w14:textId="77777777" w:rsidR="006D4EEA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Diagnostyka i leczenie pacjentów z chorobami metabolicznymi i endokrynologicznymi. Śpiączka metaboliczna. Charakterystyka chorych z cukrzycą i jej powikłaniami. Hipoglikemia i kwasica ketonowa. Ostre stany w endokrynologii: przełom tarczycowy, przełom hiperkalcemiczny, ostra niedoczynność nadnerczy, ch. Addisona. Zagrożenia życia pochodzenia endokrynologicznego w chorobach nowotworowych.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264336A" w14:textId="77777777" w:rsidR="006D4EEA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6D4EEA" w14:paraId="0A4331B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73161D0" w14:textId="77777777" w:rsidR="006D4EEA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Charakterystyka, diagnostyka i leczenie pacjenta z chorobami nerek, w tym pacjenta dializowanego. Przewlekła i ostra niewydolność nerek. Kolka nerkowa. Stany zagrożenia życia w chorobach nerek. Odmienności w stosowaniu farmakoterapii u pacjentów z niewydolnością nerek.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C82354A" w14:textId="77777777" w:rsidR="006D4EEA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6D4EEA" w14:paraId="2FD0BC3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ED757E1" w14:textId="77777777" w:rsidR="006D4EEA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Charakterystyka, diagnostyka i leczenie pacjentów z chorobami onkologicznymi i hematologicznymi. Zagrożenia życia w hematologii: skazy krwotoczne, ostra białaczka, niedokrwistość, zespół rozsianego wykrzepiania wewnątrznaczyniowego. Opieka paliatywna nad pacjentem w tym stosowanie adekwatnej terapii przeciwbólowej. Stany nagłe w chorobach nowotworowych. Ograniczenia i specjalne potrzeby pacjetów z chorobami przewlekłymi i niepełnosorawnością.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6532C21" w14:textId="77777777" w:rsidR="006D4EEA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6D4EEA" w14:paraId="05E6337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5D155BB" w14:textId="77777777" w:rsidR="006D4EE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Diagnostyka, badanie i postępowanie ratunkowe w ostrych stanach pochodzenia gastrologicznego: krwawienie z przewodu pokarmowego, ostra niewydolność wątroby, ostre zapalenie trzustki, ostry brzuch. Stany nagłe w chorobach nowotworowych jamy brzusznej.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D2D945" w14:textId="77777777" w:rsidR="006D4EEA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6D4EEA" w14:paraId="2A057E75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6B511865" w14:textId="77777777" w:rsidR="006D4EEA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Najczęściej stosowane leki w schorzeniach internistycznych, interakcje lekowe, polipragmazja. Wpływ przyjmowanych przez pacjenta leków na postępowanie ratunkowe w stanach nagłych.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21D56D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6D4EEA" w14:paraId="01625F0E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FD10966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6D4EEA" w14:paraId="517960B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E55D20" w14:textId="77777777" w:rsidR="006D4EEA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3B326194" w14:textId="77777777" w:rsidR="006D4EE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16D63E9D" w14:textId="77777777" w:rsidR="006D4EE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342CCA54" w14:textId="77777777" w:rsidR="006D4EEA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355AC252" w14:textId="77777777" w:rsidR="006D4EEA" w:rsidRDefault="006D4EE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DD9A67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6D4EEA" w14:paraId="308B7EE6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806410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6D4EEA" w14:paraId="6213F28C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900329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D63249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953CDB2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0701D4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DDE587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DBB38C4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27DB768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6BF1E287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98C3567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2E97AAC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6D4EEA" w14:paraId="392DFE6C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24CCB70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72554B7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2FBFD3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08DF0F92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6508B6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F0C228E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9685EA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0C9C443E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F2B705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37641302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3A058D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6DF3B32F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6D4EEA" w14:paraId="596F5359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48641E3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D9A7457" w14:textId="77777777" w:rsidR="006D4EE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96DDD09" w14:textId="77777777" w:rsidR="006D4EE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6C57B4A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31177144" w14:textId="77777777" w:rsidR="006D4EEA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B611E0F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7CB15EC" w14:textId="77777777" w:rsidR="006D4EE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514A493" w14:textId="77777777" w:rsidR="006D4EE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3FA6AD3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48E10F2C" w14:textId="77777777" w:rsidR="006D4EEA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D0FE1BF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55469A0" w14:textId="77777777" w:rsidR="006D4EE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72650819" w14:textId="77777777" w:rsidR="006D4EE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8F49348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49C2EFB9" w14:textId="77777777" w:rsidR="006D4EE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6735962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238E1E4" w14:textId="77777777" w:rsidR="006D4EE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7B3EA0C5" w14:textId="77777777" w:rsidR="006D4EE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2CAAA792" w14:textId="77777777" w:rsidR="006D4EE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29EB4536" w14:textId="77777777" w:rsidR="006D4EE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1CAF2CC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1D14F35" w14:textId="77777777" w:rsidR="006D4EE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75D86896" w14:textId="77777777" w:rsidR="006D4EE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0A313583" w14:textId="77777777" w:rsidR="006D4EE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CDE8F2D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12767BF" w14:textId="77777777" w:rsidR="006D4EE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7FC3DF47" w14:textId="77777777" w:rsidR="006D4EE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8599F48" w14:textId="77777777" w:rsidR="006D4EE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414043A1" w14:textId="77777777" w:rsidR="006D4EEA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6D4EEA" w14:paraId="305F96E0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DD71B3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6D4EEA" w14:paraId="5565373D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E2BE7B7" w14:textId="77777777" w:rsidR="006D4EE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Interna Szczeklika Mały podręcznik 2024/25; Wyd. Medycyna Praktyczna, Kraków 2024</w:t>
            </w:r>
          </w:p>
        </w:tc>
      </w:tr>
      <w:tr w:rsidR="006D4EEA" w14:paraId="059A7D9F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04FE3F" w14:textId="77777777" w:rsidR="006D4EE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6D4EEA" w14:paraId="6B8D7B86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2D20239" w14:textId="77777777" w:rsidR="006D4EE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Kordek R „Onkologia. Podręcznik dla studentów i lekarzy”. Via Medica, Gdańsk 2013</w:t>
            </w:r>
          </w:p>
          <w:p w14:paraId="1DAC06CC" w14:textId="77777777" w:rsidR="006D4EE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J. Andres (red.), Wytyczne resuscytacji 2025, Polska Rada Resuscytacji Kraków</w:t>
            </w:r>
          </w:p>
        </w:tc>
      </w:tr>
    </w:tbl>
    <w:p w14:paraId="2DC8C575" w14:textId="77777777" w:rsidR="006D4EEA" w:rsidRDefault="006D4EEA">
      <w:pPr>
        <w:spacing w:after="200" w:line="276" w:lineRule="auto"/>
      </w:pPr>
    </w:p>
    <w:sectPr w:rsidR="006D4EEA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3A01E" w14:textId="77777777" w:rsidR="00D80F01" w:rsidRDefault="00D80F01">
      <w:pPr>
        <w:spacing w:after="0" w:line="240" w:lineRule="auto"/>
      </w:pPr>
      <w:r>
        <w:separator/>
      </w:r>
    </w:p>
  </w:endnote>
  <w:endnote w:type="continuationSeparator" w:id="0">
    <w:p w14:paraId="608673BD" w14:textId="77777777" w:rsidR="00D80F01" w:rsidRDefault="00D80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4D07" w14:textId="77777777" w:rsidR="006D4EEA" w:rsidRDefault="006D4E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FA81" w14:textId="77777777" w:rsidR="006D4EEA" w:rsidRDefault="006D4EEA">
    <w:pPr>
      <w:pStyle w:val="Stopka"/>
    </w:pPr>
  </w:p>
  <w:p w14:paraId="19ADE582" w14:textId="77777777" w:rsidR="006D4EEA" w:rsidRDefault="006D4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BD7E5" w14:textId="77777777" w:rsidR="006D4EEA" w:rsidRDefault="006D4EEA">
    <w:pPr>
      <w:pStyle w:val="Stopka"/>
    </w:pPr>
  </w:p>
  <w:p w14:paraId="1E462584" w14:textId="77777777" w:rsidR="006D4EEA" w:rsidRDefault="006D4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771D" w14:textId="77777777" w:rsidR="00D80F01" w:rsidRDefault="00D80F01">
      <w:pPr>
        <w:spacing w:after="0" w:line="240" w:lineRule="auto"/>
      </w:pPr>
      <w:r>
        <w:separator/>
      </w:r>
    </w:p>
  </w:footnote>
  <w:footnote w:type="continuationSeparator" w:id="0">
    <w:p w14:paraId="343CE24C" w14:textId="77777777" w:rsidR="00D80F01" w:rsidRDefault="00D80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F55"/>
    <w:multiLevelType w:val="multilevel"/>
    <w:tmpl w:val="8FBE0DC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300124"/>
    <w:multiLevelType w:val="multilevel"/>
    <w:tmpl w:val="CD9ECBE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AD541B"/>
    <w:multiLevelType w:val="multilevel"/>
    <w:tmpl w:val="B134B3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AC4058"/>
    <w:multiLevelType w:val="multilevel"/>
    <w:tmpl w:val="56A805B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7964B96"/>
    <w:multiLevelType w:val="multilevel"/>
    <w:tmpl w:val="EDA0A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88F337E"/>
    <w:multiLevelType w:val="multilevel"/>
    <w:tmpl w:val="6A10525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A460B0"/>
    <w:multiLevelType w:val="multilevel"/>
    <w:tmpl w:val="4886992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045530D"/>
    <w:multiLevelType w:val="multilevel"/>
    <w:tmpl w:val="B8FE80C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A31D2"/>
    <w:multiLevelType w:val="multilevel"/>
    <w:tmpl w:val="1242E3B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67178603">
    <w:abstractNumId w:val="6"/>
  </w:num>
  <w:num w:numId="2" w16cid:durableId="980037255">
    <w:abstractNumId w:val="5"/>
  </w:num>
  <w:num w:numId="3" w16cid:durableId="106311821">
    <w:abstractNumId w:val="0"/>
  </w:num>
  <w:num w:numId="4" w16cid:durableId="1917665933">
    <w:abstractNumId w:val="8"/>
  </w:num>
  <w:num w:numId="5" w16cid:durableId="1891650241">
    <w:abstractNumId w:val="1"/>
  </w:num>
  <w:num w:numId="6" w16cid:durableId="1834638001">
    <w:abstractNumId w:val="7"/>
  </w:num>
  <w:num w:numId="7" w16cid:durableId="572589367">
    <w:abstractNumId w:val="3"/>
  </w:num>
  <w:num w:numId="8" w16cid:durableId="785780829">
    <w:abstractNumId w:val="2"/>
  </w:num>
  <w:num w:numId="9" w16cid:durableId="165414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EEA"/>
    <w:rsid w:val="004B608A"/>
    <w:rsid w:val="006D4EEA"/>
    <w:rsid w:val="0088487A"/>
    <w:rsid w:val="00D8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33953C"/>
  <w15:docId w15:val="{E876DF96-4EC0-4400-98DC-E79EE6A9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1541</Words>
  <Characters>9246</Characters>
  <Application>Microsoft Office Word</Application>
  <DocSecurity>0</DocSecurity>
  <Lines>77</Lines>
  <Paragraphs>21</Paragraphs>
  <ScaleCrop>false</ScaleCrop>
  <Company/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46</cp:revision>
  <cp:lastPrinted>2022-12-14T12:23:00Z</cp:lastPrinted>
  <dcterms:created xsi:type="dcterms:W3CDTF">2021-10-20T12:26:00Z</dcterms:created>
  <dcterms:modified xsi:type="dcterms:W3CDTF">2026-06-24T12:08:00Z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